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6CDA5E" w14:textId="77777777" w:rsidR="006A143D" w:rsidRDefault="006A143D" w:rsidP="006A143D">
      <w:pPr>
        <w:tabs>
          <w:tab w:val="left" w:pos="5103"/>
          <w:tab w:val="left" w:pos="5670"/>
          <w:tab w:val="left" w:pos="5920"/>
        </w:tabs>
        <w:jc w:val="right"/>
        <w:rPr>
          <w:rFonts w:ascii="Calibri" w:hAnsi="Calibri"/>
          <w:i/>
          <w:szCs w:val="22"/>
        </w:rPr>
      </w:pPr>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77777777"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157DA122" w14:textId="3E1FEF90" w:rsidR="00BF0A19"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Pr="006F1545">
        <w:rPr>
          <w:rFonts w:ascii="Calibri" w:hAnsi="Calibri"/>
          <w:b/>
          <w:iCs/>
          <w:szCs w:val="22"/>
        </w:rPr>
        <w:t xml:space="preserve"> DI INTERESSI </w:t>
      </w:r>
    </w:p>
    <w:p w14:paraId="6A362FB1" w14:textId="52D2FA1E" w:rsidR="0005249B" w:rsidRPr="006F1545" w:rsidRDefault="0005249B" w:rsidP="006F1545">
      <w:pPr>
        <w:jc w:val="center"/>
        <w:rPr>
          <w:rFonts w:ascii="Calibri" w:hAnsi="Calibri"/>
        </w:rPr>
      </w:pPr>
      <w:r>
        <w:rPr>
          <w:rFonts w:ascii="Calibri" w:hAnsi="Calibri"/>
          <w:b/>
          <w:iCs/>
          <w:szCs w:val="22"/>
        </w:rPr>
        <w:t>AI SENSI DEGLI ARTT. 46 e 47 D.P.R. 445/2000</w:t>
      </w:r>
    </w:p>
    <w:p w14:paraId="0F9B5352" w14:textId="77777777" w:rsidR="00BF0A19" w:rsidRPr="006F1545" w:rsidRDefault="00BF0A19" w:rsidP="006F1545">
      <w:pPr>
        <w:jc w:val="center"/>
        <w:rPr>
          <w:rFonts w:ascii="Calibri" w:hAnsi="Calibri"/>
        </w:rPr>
      </w:pPr>
    </w:p>
    <w:tbl>
      <w:tblPr>
        <w:tblStyle w:val="Grigliatabella"/>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384F8106" w14:textId="48F74DAC" w:rsidR="00C8415B" w:rsidRDefault="00C74AFE" w:rsidP="006F1545">
      <w:pPr>
        <w:jc w:val="both"/>
        <w:rPr>
          <w:rFonts w:ascii="Calibri" w:hAnsi="Calibri"/>
          <w:iCs/>
          <w:szCs w:val="24"/>
        </w:rPr>
      </w:pPr>
      <w:r>
        <w:rPr>
          <w:rFonts w:ascii="Calibri" w:hAnsi="Calibri"/>
          <w:iCs/>
          <w:szCs w:val="24"/>
        </w:rPr>
        <w:t>vista la normativa attinente alle situazioni, anche potenziali, di conflitto di interessi</w:t>
      </w:r>
      <w:r w:rsidR="008E04EE">
        <w:rPr>
          <w:rFonts w:ascii="Calibri" w:hAnsi="Calibri"/>
          <w:iCs/>
          <w:szCs w:val="24"/>
        </w:rPr>
        <w:t>,</w:t>
      </w:r>
      <w:r w:rsidR="00D12C30" w:rsidRPr="006F1545">
        <w:rPr>
          <w:rFonts w:ascii="Calibri" w:hAnsi="Calibri"/>
          <w:iCs/>
          <w:szCs w:val="24"/>
        </w:rPr>
        <w:t xml:space="preserve"> </w:t>
      </w:r>
      <w:r w:rsidR="00380979" w:rsidRPr="006F1545">
        <w:rPr>
          <w:rFonts w:ascii="Calibri" w:hAnsi="Calibri"/>
          <w:iCs/>
          <w:szCs w:val="24"/>
        </w:rPr>
        <w:t>i</w:t>
      </w:r>
      <w:r w:rsidR="00D12C30" w:rsidRPr="006F1545">
        <w:rPr>
          <w:rFonts w:ascii="Calibri" w:hAnsi="Calibri"/>
          <w:iCs/>
          <w:szCs w:val="24"/>
        </w:rPr>
        <w:t xml:space="preserve">n </w:t>
      </w:r>
      <w:r w:rsidR="008E04EE">
        <w:rPr>
          <w:rFonts w:ascii="Calibri" w:hAnsi="Calibri"/>
          <w:iCs/>
          <w:szCs w:val="24"/>
        </w:rPr>
        <w:t xml:space="preserve">relazione all’incarico di </w:t>
      </w:r>
      <w:r w:rsidR="0057564B">
        <w:rPr>
          <w:rFonts w:ascii="Calibri" w:hAnsi="Calibri"/>
          <w:iCs/>
          <w:szCs w:val="24"/>
        </w:rPr>
        <w:t>Direttore dell’Esecuzione del Contratto</w:t>
      </w:r>
      <w:r w:rsidR="00D12C30" w:rsidRPr="006F1545">
        <w:rPr>
          <w:rFonts w:ascii="Calibri" w:hAnsi="Calibri"/>
          <w:iCs/>
          <w:szCs w:val="24"/>
        </w:rPr>
        <w:t xml:space="preserve"> </w:t>
      </w:r>
      <w:r w:rsidR="0057564B">
        <w:rPr>
          <w:rFonts w:ascii="Calibri" w:hAnsi="Calibri"/>
          <w:iCs/>
          <w:szCs w:val="24"/>
        </w:rPr>
        <w:t>relativo all’affidamento di [</w:t>
      </w:r>
      <w:r w:rsidR="0057564B" w:rsidRPr="0057564B">
        <w:rPr>
          <w:rFonts w:ascii="Calibri" w:hAnsi="Calibri"/>
          <w:iCs/>
          <w:szCs w:val="24"/>
          <w:highlight w:val="yellow"/>
        </w:rPr>
        <w:t>completare</w:t>
      </w:r>
      <w:r w:rsidR="0057564B">
        <w:rPr>
          <w:rFonts w:ascii="Calibri" w:hAnsi="Calibri"/>
          <w:iCs/>
          <w:szCs w:val="24"/>
        </w:rPr>
        <w:t>] nell’ambito del</w:t>
      </w:r>
      <w:r w:rsidR="008E04EE" w:rsidRPr="006F1545">
        <w:rPr>
          <w:rFonts w:ascii="Calibri" w:hAnsi="Calibri"/>
          <w:iCs/>
          <w:szCs w:val="24"/>
        </w:rPr>
        <w:t xml:space="preserve"> </w:t>
      </w:r>
      <w:r w:rsidR="00D12C30" w:rsidRPr="006F1545">
        <w:rPr>
          <w:rFonts w:ascii="Calibri" w:hAnsi="Calibri"/>
          <w:iCs/>
          <w:szCs w:val="24"/>
        </w:rPr>
        <w:t xml:space="preserve">progetto </w:t>
      </w:r>
      <w:r w:rsidR="006F1545">
        <w:rPr>
          <w:rFonts w:ascii="Calibri" w:hAnsi="Calibri"/>
          <w:iCs/>
          <w:szCs w:val="24"/>
        </w:rPr>
        <w:t>[</w:t>
      </w:r>
      <w:r w:rsidR="006F1545" w:rsidRPr="006F1545">
        <w:rPr>
          <w:rFonts w:ascii="Calibri" w:hAnsi="Calibri"/>
          <w:iCs/>
          <w:szCs w:val="24"/>
          <w:highlight w:val="yellow"/>
        </w:rPr>
        <w:t>acronimo</w:t>
      </w:r>
      <w:r w:rsidR="00ED513C" w:rsidRPr="006F1545">
        <w:rPr>
          <w:rFonts w:ascii="Calibri" w:hAnsi="Calibri"/>
          <w:iCs/>
          <w:szCs w:val="24"/>
        </w:rPr>
        <w:t xml:space="preserve">] </w:t>
      </w:r>
      <w:r w:rsidR="00D12C30" w:rsidRPr="006F1545">
        <w:rPr>
          <w:rFonts w:ascii="Calibri" w:hAnsi="Calibri"/>
          <w:iCs/>
          <w:szCs w:val="24"/>
        </w:rPr>
        <w:t>CUP</w:t>
      </w:r>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ED513C" w:rsidRPr="006F1545">
        <w:rPr>
          <w:rFonts w:ascii="Calibri" w:hAnsi="Calibri"/>
          <w:iCs/>
          <w:szCs w:val="24"/>
        </w:rPr>
        <w:t>Missione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ED513C" w:rsidRPr="006F1545">
        <w:rPr>
          <w:rFonts w:ascii="Calibri" w:hAnsi="Calibri"/>
          <w:iCs/>
          <w:szCs w:val="24"/>
        </w:rPr>
        <w:t>Componente</w:t>
      </w:r>
      <w:r w:rsidR="00D12C30" w:rsidRPr="006F1545">
        <w:rPr>
          <w:rFonts w:ascii="Calibri" w:hAnsi="Calibri"/>
          <w:iCs/>
          <w:szCs w:val="24"/>
        </w:rPr>
        <w:t xml:space="preserve"> </w:t>
      </w:r>
      <w:r w:rsidR="00ED513C" w:rsidRPr="006F1545">
        <w:rPr>
          <w:rFonts w:ascii="Calibri" w:hAnsi="Calibri"/>
          <w:iCs/>
          <w:szCs w:val="24"/>
        </w:rPr>
        <w:t>[</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BD763B">
        <w:rPr>
          <w:rFonts w:ascii="Calibri" w:hAnsi="Calibri"/>
          <w:iCs/>
          <w:szCs w:val="24"/>
        </w:rPr>
        <w:t>Investimento</w:t>
      </w:r>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del Piano Nazionale di Ripresa e Resilienza (PNRR)</w:t>
      </w:r>
      <w:r w:rsidR="00ED513C" w:rsidRPr="006F1545">
        <w:rPr>
          <w:rFonts w:ascii="Calibri" w:hAnsi="Calibri"/>
          <w:iCs/>
          <w:szCs w:val="24"/>
        </w:rPr>
        <w:t xml:space="preserve"> </w:t>
      </w:r>
      <w:r w:rsidR="0057564B">
        <w:rPr>
          <w:rFonts w:ascii="Calibri" w:hAnsi="Calibri"/>
          <w:iCs/>
          <w:szCs w:val="24"/>
        </w:rPr>
        <w:t>CIG [</w:t>
      </w:r>
      <w:r w:rsidR="0057564B" w:rsidRPr="0057564B">
        <w:rPr>
          <w:rFonts w:ascii="Calibri" w:hAnsi="Calibri"/>
          <w:iCs/>
          <w:szCs w:val="24"/>
          <w:highlight w:val="yellow"/>
        </w:rPr>
        <w:t>completare</w:t>
      </w:r>
      <w:r w:rsidR="0057564B">
        <w:rPr>
          <w:rFonts w:ascii="Calibri" w:hAnsi="Calibri"/>
          <w:iCs/>
          <w:szCs w:val="24"/>
        </w:rPr>
        <w:t>]</w:t>
      </w:r>
    </w:p>
    <w:p w14:paraId="20E23E3E" w14:textId="77777777" w:rsidR="00C8415B" w:rsidRDefault="00C8415B" w:rsidP="006F1545">
      <w:pPr>
        <w:jc w:val="both"/>
        <w:rPr>
          <w:rFonts w:ascii="Calibri" w:hAnsi="Calibri"/>
          <w:iCs/>
          <w:szCs w:val="24"/>
        </w:rPr>
      </w:pPr>
    </w:p>
    <w:p w14:paraId="59FCA578" w14:textId="26CF4E4C" w:rsidR="00C8415B" w:rsidRPr="00C8415B" w:rsidRDefault="00C8415B" w:rsidP="00C8415B">
      <w:pPr>
        <w:jc w:val="center"/>
        <w:rPr>
          <w:rFonts w:ascii="Calibri" w:hAnsi="Calibri"/>
          <w:b/>
          <w:iCs/>
          <w:szCs w:val="24"/>
        </w:rPr>
      </w:pPr>
      <w:r w:rsidRPr="00C8415B">
        <w:rPr>
          <w:rFonts w:ascii="Calibri" w:hAnsi="Calibri"/>
          <w:b/>
          <w:iCs/>
          <w:szCs w:val="24"/>
        </w:rPr>
        <w:t>PRESO ATTO</w:t>
      </w:r>
    </w:p>
    <w:p w14:paraId="79FB9372" w14:textId="43547473" w:rsidR="00C8415B" w:rsidRDefault="00C8415B" w:rsidP="006F1545">
      <w:pPr>
        <w:jc w:val="both"/>
        <w:rPr>
          <w:rFonts w:ascii="Calibri" w:hAnsi="Calibri"/>
          <w:iCs/>
          <w:szCs w:val="24"/>
        </w:rPr>
      </w:pPr>
    </w:p>
    <w:p w14:paraId="615C77E7" w14:textId="48ADA622" w:rsidR="00ED513C" w:rsidRPr="006F1545" w:rsidRDefault="00C8415B" w:rsidP="006F1545">
      <w:pPr>
        <w:jc w:val="both"/>
        <w:rPr>
          <w:rFonts w:ascii="Calibri" w:hAnsi="Calibri"/>
          <w:szCs w:val="24"/>
        </w:rPr>
      </w:pPr>
      <w:r>
        <w:rPr>
          <w:rFonts w:ascii="Calibri" w:hAnsi="Calibri"/>
          <w:iCs/>
          <w:szCs w:val="24"/>
        </w:rPr>
        <w:t xml:space="preserve">Che </w:t>
      </w:r>
      <w:r w:rsidR="0057564B">
        <w:rPr>
          <w:rFonts w:ascii="Calibri" w:hAnsi="Calibri"/>
          <w:iCs/>
          <w:szCs w:val="24"/>
        </w:rPr>
        <w:t>l’esecutore del contratto è l’operatore economico [</w:t>
      </w:r>
      <w:r w:rsidR="0057564B" w:rsidRPr="0057564B">
        <w:rPr>
          <w:rFonts w:ascii="Calibri" w:hAnsi="Calibri"/>
          <w:iCs/>
          <w:szCs w:val="24"/>
          <w:highlight w:val="yellow"/>
        </w:rPr>
        <w:t>completare</w:t>
      </w:r>
      <w:r w:rsidR="0057564B">
        <w:rPr>
          <w:rFonts w:ascii="Calibri" w:hAnsi="Calibri"/>
          <w:iCs/>
          <w:szCs w:val="24"/>
        </w:rPr>
        <w:t xml:space="preserve">], </w:t>
      </w:r>
      <w:r w:rsidR="00ED513C" w:rsidRPr="006F1545">
        <w:rPr>
          <w:rFonts w:ascii="Calibri" w:hAnsi="Calibri"/>
          <w:iCs/>
          <w:szCs w:val="24"/>
        </w:rPr>
        <w:t xml:space="preserve">consapevole delle responsabilità e delle sanzioni penali stabilite dalla legge per le false attestazioni e le dichiarazioni </w:t>
      </w:r>
      <w:r w:rsidR="006F1545">
        <w:rPr>
          <w:rFonts w:ascii="Calibri" w:hAnsi="Calibri"/>
          <w:iCs/>
          <w:szCs w:val="24"/>
        </w:rPr>
        <w:t>mendaci (artt. 75 e 76 D.P.R. n°</w:t>
      </w:r>
      <w:r w:rsidR="00ED513C" w:rsidRPr="006F1545">
        <w:rPr>
          <w:rFonts w:ascii="Calibri" w:hAnsi="Calibri"/>
          <w:iCs/>
          <w:szCs w:val="24"/>
        </w:rPr>
        <w:t xml:space="preserve"> 445/2000</w:t>
      </w:r>
      <w:r w:rsidR="006F1545">
        <w:rPr>
          <w:rFonts w:ascii="Calibri" w:hAnsi="Calibri"/>
          <w:iCs/>
          <w:szCs w:val="24"/>
        </w:rPr>
        <w:t xml:space="preserve"> e s.m.i.</w:t>
      </w:r>
      <w:r w:rsidR="00ED513C" w:rsidRPr="006F1545">
        <w:rPr>
          <w:rFonts w:ascii="Calibri" w:hAnsi="Calibri"/>
          <w:iCs/>
          <w:szCs w:val="24"/>
        </w:rPr>
        <w:t>)</w:t>
      </w:r>
      <w:r>
        <w:rPr>
          <w:rFonts w:ascii="Calibri" w:hAnsi="Calibri"/>
          <w:iCs/>
          <w:szCs w:val="24"/>
        </w:rPr>
        <w:t xml:space="preserve">, </w:t>
      </w:r>
      <w:r w:rsidR="00ED513C" w:rsidRPr="006F1545">
        <w:rPr>
          <w:rFonts w:ascii="Calibri" w:hAnsi="Calibri"/>
          <w:iCs/>
          <w:szCs w:val="24"/>
        </w:rPr>
        <w:t>sotto la propria responsabilità</w:t>
      </w:r>
    </w:p>
    <w:p w14:paraId="72A67A92" w14:textId="77777777" w:rsidR="00BF0A19" w:rsidRPr="006F1545" w:rsidRDefault="00BF0A19" w:rsidP="006F1545">
      <w:pPr>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14A81D74" w14:textId="593A1381" w:rsidR="00BF0A19"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incorrere in alcuna delle cause di incompatibilità</w:t>
      </w:r>
      <w:r w:rsidR="00401F3A">
        <w:rPr>
          <w:rFonts w:ascii="Calibri" w:hAnsi="Calibri"/>
          <w:iCs/>
          <w:szCs w:val="24"/>
        </w:rPr>
        <w:t xml:space="preserve"> </w:t>
      </w:r>
      <w:r w:rsidR="00C8415B">
        <w:rPr>
          <w:rFonts w:ascii="Calibri" w:hAnsi="Calibri"/>
          <w:iCs/>
          <w:szCs w:val="24"/>
        </w:rPr>
        <w:t xml:space="preserve">e di astensione </w:t>
      </w:r>
      <w:r w:rsidR="00401F3A">
        <w:rPr>
          <w:rFonts w:ascii="Calibri" w:hAnsi="Calibri"/>
          <w:iCs/>
          <w:szCs w:val="24"/>
        </w:rPr>
        <w:t xml:space="preserve">ai fini dello svolgimento dell’incarico di </w:t>
      </w:r>
      <w:r w:rsidR="0089275E">
        <w:rPr>
          <w:rFonts w:ascii="Calibri" w:hAnsi="Calibri"/>
          <w:iCs/>
          <w:szCs w:val="24"/>
        </w:rPr>
        <w:t>cui trattasi</w:t>
      </w:r>
      <w:bookmarkStart w:id="0" w:name="_GoBack"/>
      <w:bookmarkEnd w:id="0"/>
      <w:r w:rsidR="00ED513C" w:rsidRPr="006F1545">
        <w:rPr>
          <w:rFonts w:ascii="Calibri" w:hAnsi="Calibri"/>
          <w:iCs/>
          <w:szCs w:val="24"/>
        </w:rPr>
        <w:t>;</w:t>
      </w:r>
    </w:p>
    <w:p w14:paraId="2AB50994" w14:textId="25D3EB11" w:rsidR="00450F8D"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42 </w:t>
      </w:r>
      <w:r>
        <w:rPr>
          <w:rFonts w:ascii="Calibri" w:hAnsi="Calibri"/>
          <w:iCs/>
          <w:szCs w:val="24"/>
        </w:rPr>
        <w:t xml:space="preserve">del </w:t>
      </w:r>
      <w:r w:rsidR="00ED513C" w:rsidRPr="006F1545">
        <w:rPr>
          <w:rFonts w:ascii="Calibri" w:hAnsi="Calibri"/>
          <w:iCs/>
          <w:szCs w:val="24"/>
        </w:rPr>
        <w:t xml:space="preserve">D. Lgs. </w:t>
      </w:r>
      <w:r>
        <w:rPr>
          <w:rFonts w:ascii="Calibri" w:hAnsi="Calibri"/>
          <w:iCs/>
          <w:szCs w:val="24"/>
        </w:rPr>
        <w:t xml:space="preserve">n° </w:t>
      </w:r>
      <w:r w:rsidR="00ED513C" w:rsidRPr="006F1545">
        <w:rPr>
          <w:rFonts w:ascii="Calibri" w:hAnsi="Calibri"/>
          <w:iCs/>
          <w:szCs w:val="24"/>
        </w:rPr>
        <w:t>50/2016,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Pr>
          <w:rFonts w:ascii="Calibri" w:hAnsi="Calibri"/>
          <w:iCs/>
          <w:szCs w:val="24"/>
        </w:rPr>
        <w:t xml:space="preserve"> Lgs. n°</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15C22DC5" w14:textId="26547DA8" w:rsidR="009916E3" w:rsidRPr="009916E3" w:rsidRDefault="006F1545" w:rsidP="009916E3">
      <w:pPr>
        <w:pStyle w:val="Paragrafoelenco"/>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9916E3">
        <w:rPr>
          <w:rFonts w:ascii="Calibri" w:hAnsi="Calibri"/>
          <w:iCs/>
          <w:szCs w:val="24"/>
        </w:rPr>
        <w:t>;</w:t>
      </w:r>
    </w:p>
    <w:p w14:paraId="4394F1C0" w14:textId="11CB91ED" w:rsidR="009916E3" w:rsidRPr="009916E3" w:rsidRDefault="009916E3" w:rsidP="009916E3">
      <w:pPr>
        <w:pStyle w:val="Paragrafoelenco"/>
        <w:numPr>
          <w:ilvl w:val="0"/>
          <w:numId w:val="5"/>
        </w:numPr>
        <w:suppressAutoHyphens w:val="0"/>
        <w:autoSpaceDE w:val="0"/>
        <w:autoSpaceDN w:val="0"/>
        <w:adjustRightInd w:val="0"/>
        <w:jc w:val="both"/>
        <w:rPr>
          <w:rFonts w:ascii="Calibri" w:hAnsi="Calibri" w:cs="Calibri"/>
          <w:color w:val="000000"/>
        </w:rPr>
      </w:pPr>
      <w:r w:rsidRPr="009916E3">
        <w:rPr>
          <w:rFonts w:ascii="Calibri" w:hAnsi="Calibri" w:cs="Calibri"/>
          <w:color w:val="000000"/>
        </w:rPr>
        <w:t xml:space="preserve">Di aver preso piena cognizione del D.M. 7 marzo 2018, n. 49 recante </w:t>
      </w:r>
      <w:r w:rsidRPr="009916E3">
        <w:rPr>
          <w:rFonts w:ascii="Calibri" w:hAnsi="Calibri" w:cs="Calibri"/>
          <w:i/>
          <w:iCs/>
          <w:color w:val="000000"/>
        </w:rPr>
        <w:t xml:space="preserve">«Approvazione delle linee guida sulle modalità di svolgimento delle funzioni del direttore dei lavori e del direttore dell’esecuzione»; </w:t>
      </w:r>
    </w:p>
    <w:p w14:paraId="5DC708DF" w14:textId="77777777" w:rsidR="002C7176" w:rsidRPr="006C0427" w:rsidRDefault="002C7176" w:rsidP="002C7176">
      <w:pPr>
        <w:pStyle w:val="Paragrafoelenco"/>
        <w:numPr>
          <w:ilvl w:val="0"/>
          <w:numId w:val="5"/>
        </w:numPr>
        <w:tabs>
          <w:tab w:val="left" w:pos="709"/>
        </w:tabs>
        <w:jc w:val="both"/>
        <w:rPr>
          <w:rFonts w:ascii="Calibri" w:hAnsi="Calibri"/>
          <w:i/>
          <w:iCs/>
          <w:szCs w:val="24"/>
        </w:rPr>
      </w:pPr>
      <w:r w:rsidRPr="006C0427">
        <w:rPr>
          <w:rFonts w:ascii="Calibri" w:hAnsi="Calibri"/>
          <w:i/>
          <w:iCs/>
          <w:szCs w:val="24"/>
        </w:rPr>
        <w:t>(spazio per ulteriori dichiarazioni relative alla partecipazione ad associazioni e organizzazioni)</w:t>
      </w:r>
    </w:p>
    <w:p w14:paraId="37AC4E6B" w14:textId="77777777" w:rsidR="002C7176" w:rsidRPr="00AB4DC2" w:rsidRDefault="002C7176" w:rsidP="002C7176">
      <w:pPr>
        <w:pStyle w:val="Paragrafoelenco"/>
        <w:numPr>
          <w:ilvl w:val="0"/>
          <w:numId w:val="5"/>
        </w:numPr>
        <w:tabs>
          <w:tab w:val="left" w:pos="709"/>
        </w:tabs>
        <w:jc w:val="both"/>
        <w:rPr>
          <w:rFonts w:ascii="Calibri" w:hAnsi="Calibri"/>
          <w:i/>
          <w:iCs/>
          <w:szCs w:val="24"/>
        </w:rPr>
      </w:pPr>
      <w:r w:rsidRPr="00AB4DC2">
        <w:rPr>
          <w:rFonts w:ascii="Calibri" w:hAnsi="Calibri"/>
          <w:i/>
          <w:iCs/>
          <w:szCs w:val="24"/>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Paragrafoelenco"/>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Paragrafoelenco"/>
        <w:tabs>
          <w:tab w:val="left" w:pos="567"/>
        </w:tabs>
        <w:ind w:left="567"/>
        <w:jc w:val="center"/>
        <w:rPr>
          <w:rFonts w:ascii="Calibri" w:hAnsi="Calibri"/>
          <w:b/>
          <w:iCs/>
          <w:szCs w:val="24"/>
        </w:rPr>
      </w:pPr>
    </w:p>
    <w:p w14:paraId="04162B02" w14:textId="5C427193" w:rsidR="00BF0A19" w:rsidRPr="006F1545" w:rsidRDefault="006F1545" w:rsidP="006F1545">
      <w:pPr>
        <w:pStyle w:val="Paragrafoelenco"/>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Paragrafoelenco"/>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Paragrafoelenco"/>
        <w:ind w:left="567"/>
        <w:jc w:val="both"/>
        <w:rPr>
          <w:rFonts w:ascii="Calibri" w:hAnsi="Calibri"/>
          <w:iCs/>
          <w:szCs w:val="24"/>
        </w:rPr>
      </w:pPr>
    </w:p>
    <w:p w14:paraId="34937A5E" w14:textId="77777777" w:rsidR="006A143D" w:rsidRPr="006F1545" w:rsidRDefault="006A143D" w:rsidP="006A143D">
      <w:pPr>
        <w:tabs>
          <w:tab w:val="left" w:pos="993"/>
        </w:tabs>
        <w:jc w:val="both"/>
        <w:rPr>
          <w:rFonts w:ascii="Calibri" w:hAnsi="Calibri"/>
          <w:iCs/>
          <w:szCs w:val="24"/>
        </w:rPr>
      </w:pPr>
      <w:r>
        <w:rPr>
          <w:rFonts w:ascii="Calibri" w:hAnsi="Calibri"/>
          <w:iCs/>
          <w:szCs w:val="24"/>
        </w:rPr>
        <w:t>L</w:t>
      </w:r>
      <w:r w:rsidRPr="006F1545">
        <w:rPr>
          <w:rFonts w:ascii="Calibri" w:hAnsi="Calibri"/>
          <w:iCs/>
          <w:szCs w:val="24"/>
        </w:rPr>
        <w:t>a presente dichiarazione è resa ai sensi e per gli effetti dell’art. 6-</w:t>
      </w:r>
      <w:r w:rsidRPr="006F1545">
        <w:rPr>
          <w:rFonts w:ascii="Calibri" w:hAnsi="Calibri"/>
          <w:i/>
          <w:iCs/>
          <w:szCs w:val="24"/>
        </w:rPr>
        <w:t>bis</w:t>
      </w:r>
      <w:r w:rsidRPr="006F1545">
        <w:rPr>
          <w:rFonts w:ascii="Calibri" w:hAnsi="Calibri"/>
          <w:iCs/>
          <w:szCs w:val="24"/>
        </w:rPr>
        <w:t xml:space="preserve"> Legge 241/</w:t>
      </w:r>
      <w:r>
        <w:rPr>
          <w:rFonts w:ascii="Calibri" w:hAnsi="Calibri"/>
          <w:iCs/>
          <w:szCs w:val="24"/>
        </w:rPr>
        <w:t>19</w:t>
      </w:r>
      <w:r w:rsidRPr="006F1545">
        <w:rPr>
          <w:rFonts w:ascii="Calibri" w:hAnsi="Calibri"/>
          <w:iCs/>
          <w:szCs w:val="24"/>
        </w:rPr>
        <w:t xml:space="preserve">90, degli artt. 6 e 7 del D.P.R. </w:t>
      </w:r>
      <w:r w:rsidRPr="00450F8D">
        <w:rPr>
          <w:rFonts w:ascii="Calibri" w:hAnsi="Calibri"/>
          <w:iCs/>
          <w:szCs w:val="24"/>
        </w:rPr>
        <w:t>16 aprile 2013, n. 62</w:t>
      </w:r>
      <w:r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Pr>
          <w:rFonts w:ascii="Calibri" w:hAnsi="Calibri"/>
          <w:iCs/>
          <w:szCs w:val="24"/>
        </w:rPr>
        <w:t xml:space="preserve"> dell’art.</w:t>
      </w:r>
      <w:r w:rsidRPr="006F1545">
        <w:rPr>
          <w:rFonts w:ascii="Calibri" w:hAnsi="Calibri"/>
          <w:iCs/>
          <w:szCs w:val="24"/>
        </w:rPr>
        <w:t xml:space="preserve"> 15, comma 1, lettera c) del </w:t>
      </w:r>
      <w:r>
        <w:rPr>
          <w:rFonts w:ascii="Calibri" w:hAnsi="Calibri"/>
          <w:iCs/>
          <w:szCs w:val="24"/>
        </w:rPr>
        <w:t>D. Lgs. n°</w:t>
      </w:r>
      <w:r w:rsidRPr="006F1545">
        <w:rPr>
          <w:rFonts w:ascii="Calibri" w:hAnsi="Calibri"/>
          <w:iCs/>
          <w:szCs w:val="24"/>
        </w:rPr>
        <w:t xml:space="preserve"> 33/2013 e dell’art. 20 del D. Lgs. </w:t>
      </w:r>
      <w:r>
        <w:rPr>
          <w:rFonts w:ascii="Calibri" w:hAnsi="Calibri"/>
          <w:iCs/>
          <w:szCs w:val="24"/>
        </w:rPr>
        <w:t>n° 39/2013</w:t>
      </w:r>
      <w:r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Grigliatabella"/>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6A562162" w14:textId="77777777" w:rsidR="006A143D" w:rsidRPr="0056779A" w:rsidRDefault="006A143D" w:rsidP="006A143D">
      <w:pPr>
        <w:jc w:val="both"/>
        <w:rPr>
          <w:rFonts w:ascii="Calibri" w:hAnsi="Calibri"/>
          <w:i/>
          <w:iCs/>
        </w:rPr>
      </w:pPr>
      <w:r w:rsidRPr="0056779A">
        <w:rPr>
          <w:rFonts w:ascii="Calibri" w:hAnsi="Calibri"/>
          <w:i/>
          <w:iCs/>
        </w:rPr>
        <w:t>Il dichiarante deve firmare con firma digitale qualificata oppure allegando copia fotostatica del documento di identità, in corso di validità (art. 38 del D.P.R. n° 445/2000 e s.m.i.).</w:t>
      </w:r>
    </w:p>
    <w:p w14:paraId="2ACABC37" w14:textId="77777777" w:rsidR="006A143D" w:rsidRDefault="006A143D">
      <w:pPr>
        <w:rPr>
          <w:rFonts w:ascii="Calibri" w:hAnsi="Calibri"/>
        </w:rPr>
      </w:pPr>
      <w:r>
        <w:rPr>
          <w:rFonts w:ascii="Calibri" w:hAnsi="Calibri"/>
        </w:rPr>
        <w:br w:type="page"/>
      </w:r>
    </w:p>
    <w:p w14:paraId="72598D18" w14:textId="77777777" w:rsidR="0005249B" w:rsidRPr="00E04A7C" w:rsidRDefault="0005249B" w:rsidP="0005249B">
      <w:pPr>
        <w:jc w:val="center"/>
        <w:rPr>
          <w:rFonts w:ascii="Calibri" w:hAnsi="Calibri"/>
          <w:b/>
        </w:rPr>
      </w:pPr>
      <w:r w:rsidRPr="00E04A7C">
        <w:rPr>
          <w:rFonts w:ascii="Calibri" w:hAnsi="Calibri"/>
          <w:b/>
        </w:rPr>
        <w:lastRenderedPageBreak/>
        <w:t>NORMATIVA DI RIFERIMENTO</w:t>
      </w:r>
    </w:p>
    <w:p w14:paraId="7086BA2B" w14:textId="77777777" w:rsidR="0005249B" w:rsidRDefault="0005249B" w:rsidP="0005249B">
      <w:pPr>
        <w:jc w:val="both"/>
        <w:rPr>
          <w:rFonts w:ascii="Calibri" w:hAnsi="Calibri"/>
        </w:rPr>
      </w:pPr>
    </w:p>
    <w:p w14:paraId="7BA0E58D" w14:textId="77777777" w:rsidR="0005249B" w:rsidRDefault="0005249B" w:rsidP="0005249B">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66933BA5" w14:textId="77777777" w:rsidR="0005249B" w:rsidRPr="000901EA" w:rsidRDefault="0005249B" w:rsidP="0005249B">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396418A9" w14:textId="77777777" w:rsidR="0005249B" w:rsidRDefault="0005249B" w:rsidP="0005249B">
      <w:pPr>
        <w:jc w:val="both"/>
        <w:rPr>
          <w:rFonts w:ascii="Calibri" w:hAnsi="Calibri"/>
          <w:i/>
        </w:rPr>
      </w:pPr>
    </w:p>
    <w:p w14:paraId="5012DE90" w14:textId="77777777" w:rsidR="0005249B" w:rsidRDefault="0005249B" w:rsidP="0005249B">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7EF12BFA"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053104B8" w14:textId="77777777" w:rsidR="0005249B" w:rsidRPr="000901EA" w:rsidRDefault="0005249B" w:rsidP="0005249B">
      <w:pPr>
        <w:pStyle w:val="Paragrafoelenco"/>
        <w:numPr>
          <w:ilvl w:val="0"/>
          <w:numId w:val="7"/>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448EB3BA" w14:textId="77777777" w:rsidR="0005249B" w:rsidRPr="000901EA" w:rsidRDefault="0005249B" w:rsidP="0005249B">
      <w:pPr>
        <w:pStyle w:val="Paragrafoelenco"/>
        <w:numPr>
          <w:ilvl w:val="0"/>
          <w:numId w:val="7"/>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3191B8D8" w14:textId="77777777" w:rsidR="0005249B" w:rsidRPr="000901EA" w:rsidRDefault="0005249B" w:rsidP="0005249B">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3E6CFAE1" w14:textId="77777777" w:rsidR="0005249B" w:rsidRDefault="0005249B" w:rsidP="0005249B">
      <w:pPr>
        <w:jc w:val="both"/>
        <w:rPr>
          <w:rFonts w:ascii="Calibri" w:hAnsi="Calibri"/>
          <w:i/>
        </w:rPr>
      </w:pPr>
    </w:p>
    <w:p w14:paraId="75E15D5B" w14:textId="77777777" w:rsidR="0005249B" w:rsidRDefault="0005249B" w:rsidP="0005249B">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61C7612B" w14:textId="77777777" w:rsidR="0005249B" w:rsidRPr="000901EA" w:rsidRDefault="0005249B" w:rsidP="0005249B">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8E7AB3A" w14:textId="77777777" w:rsidR="0005249B" w:rsidRDefault="0005249B" w:rsidP="0005249B">
      <w:pPr>
        <w:jc w:val="both"/>
        <w:rPr>
          <w:rFonts w:ascii="Calibri" w:hAnsi="Calibri"/>
          <w:i/>
        </w:rPr>
      </w:pPr>
    </w:p>
    <w:p w14:paraId="2AA0AC89" w14:textId="77777777" w:rsidR="0005249B" w:rsidRDefault="0005249B" w:rsidP="0005249B">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 Art. </w:t>
      </w:r>
      <w:r w:rsidRPr="006F1545">
        <w:rPr>
          <w:rFonts w:ascii="Calibri" w:hAnsi="Calibri"/>
          <w:iCs/>
          <w:szCs w:val="24"/>
        </w:rPr>
        <w:t>53 (</w:t>
      </w:r>
      <w:r w:rsidRPr="006F1545">
        <w:rPr>
          <w:rFonts w:ascii="Calibri" w:hAnsi="Calibri"/>
          <w:i/>
          <w:iCs/>
          <w:szCs w:val="24"/>
        </w:rPr>
        <w:t>Incompatibilità, cumulo di impieghi e incarichi</w:t>
      </w:r>
      <w:r w:rsidRPr="006F1545">
        <w:rPr>
          <w:rFonts w:ascii="Calibri" w:hAnsi="Calibri"/>
          <w:iCs/>
          <w:szCs w:val="24"/>
        </w:rPr>
        <w:t>)</w:t>
      </w:r>
    </w:p>
    <w:p w14:paraId="7107BCCA" w14:textId="77777777" w:rsidR="0005249B" w:rsidRPr="000901EA" w:rsidRDefault="0005249B" w:rsidP="0005249B">
      <w:pPr>
        <w:jc w:val="both"/>
        <w:rPr>
          <w:rFonts w:ascii="Calibri" w:hAnsi="Calibri"/>
          <w:i/>
          <w:sz w:val="16"/>
          <w:szCs w:val="16"/>
        </w:rPr>
      </w:pPr>
      <w:r w:rsidRPr="000901EA">
        <w:rPr>
          <w:rFonts w:ascii="Calibri" w:hAnsi="Calibri"/>
          <w:i/>
          <w:sz w:val="16"/>
          <w:szCs w:val="16"/>
        </w:rPr>
        <w:t>1. Resta ferma per tutti i dipendenti pubblici la disciplina delle incompatibilità dettata dagli articoli 60 e seguenti del testo unico approvato con decreto del Presidente della Repubblica 10 gennaio 1957, n. 3, salva la deroga prevista dall'articolo 23-bis del presente decreto, nonché, per i rapporti di lavoro a tempo parziale, dall'articolo 6, comma 2, del decreto del Presidente del Consiglio dei ministri 17 marzo 1989, n. 117 e dall'articolo 1, commi 57 e seguenti della legge 23 dicembre 1996, n. 662. Restano ferme altresì le disposizioni di cui agli articoli 267, comma 1, 273, 274, 508</w:t>
      </w:r>
    </w:p>
    <w:p w14:paraId="50E273FD"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nonché 676 del decreto legislativo 16 aprile 1994, n. 297, all'articolo 9, commi 1 e 2, della legge 23 dicembre 1992, n. 498, all'articolo 4, comma 7, della legge 30 dicembre 1991, n. 412, ed ogni altra successiva modificazione ed integrazione della relativa disciplina. </w:t>
      </w:r>
    </w:p>
    <w:p w14:paraId="1A888C40"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1-bis. Non possono essere conferiti incarichi di direzione di strutture deputate alla gestione del personale a soggetti che rivestano o abbiano rivestito negli ultimi due anni cariche in partiti politici o in organizzazioni sindacali o che abbiano avuto negli ultimi due anni rapporti continuativi di collaborazione o di consulenza con le predette organizzazioni. </w:t>
      </w:r>
    </w:p>
    <w:p w14:paraId="037936D7"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2. Le pubbliche amministrazioni non possono conferire ai dipendenti incarichi, non compresi nei compiti e doveri di ufficio, che non siano espressamente previsti o disciplinati da legge o altre fonti normative, o che non siano espressamente autorizzati. </w:t>
      </w:r>
    </w:p>
    <w:p w14:paraId="5C398370"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3. Ai fini previsti dal comma 2, con appositi regolamenti, da emanarsi ai sensi dell'articolo 17, comma 2, della legge 23 agosto 1988, n. 400, sono individuati gli incarichi consentiti e quelli vietati ai magistrati ordinari, amministrativi, contabili e militari, nonché agli avvocati e procuratori dello Stato, sentiti, per le diverse magistrature, i rispettivi istituti. </w:t>
      </w:r>
    </w:p>
    <w:p w14:paraId="25743568"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3-bis. Ai fini previsti dal comma 2, con appositi regolamenti emanati su proposta del Ministro per la pubblica amministrazione e la semplificazione, di concerto con i Ministri interessati, ai sensi dell'articolo 17, comma 2, della legge 23 agosto 1988, n. 400, e successive modificazioni, sono individuati, secondo criteri differenziati in rapporto alle diverse qualifiche e ruoli professionali, gli incarichi vietati ai dipendenti delle amministrazioni pubbliche di cui all'articolo 1, comma 2. </w:t>
      </w:r>
    </w:p>
    <w:p w14:paraId="7631A8D3"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 4. Nel caso in cui i regolamenti di cui al comma 3 non siano emanati, l'attribuzione degli incarichi e' consentita nei soli casi espressamente previsti dalla legge o da altre fonti normative. </w:t>
      </w:r>
    </w:p>
    <w:p w14:paraId="6A26A2E2"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5. In ogni caso, il conferimento operato direttamente dall'amministrazione, nonche' l'autorizzazione all'esercizio di incarichi che provengano da amministrazione pubblica diversa da quella di appartenenza, ovvero da societa' o persone fisiche, che svolgano attività d'impresa o commerciale, sono disposti dai rispettivi organi competenti secondo criteri oggettivi e predeterminati, che tengano conto della specifica professionalità, tali da escludere casi di incompatibilità, sia di diritto che di fatto, nell'interesse del buon andamento della pubblica amministrazione o situazioni di conflitto, anche potenziale, di interessi, che pregiudichino l'esercizio imparziale delle funzioni attribuite al dipendente. </w:t>
      </w:r>
    </w:p>
    <w:p w14:paraId="6743983C"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6. I commi da 7 a 13 del presente articolo si applicano ai dipendenti delle amministrazioni pubbliche di cui all'articolo 1, comma 2, compresi quelli di cui all'articolo 3, con esclusione dei dipendenti con rapporto di lavoro a tempo parziale con prestazione lavorativa non superiore al cinquanta per cento di quella a tempo pieno, dei docenti universitari a tempo definito e delle altre categorie di dipendenti pubblici ai quali è consentito da disposizioni speciali lo svolgimento di attività libero-professionali. Sono nulli tutti gli atti e provvedimenti comunque denominati, regolamentari e amministrativi, adottati dalle amministrazioni di appartenenza in contrasto con il presente comma. Gli incarichi retribuiti, di cui ai commi seguenti, sono tutti gli incarichi, anche occasionali, non compresi nei compiti e doveri di ufficio, per i quali è previsto, sotto qualsiasi forma, un compenso. Sono esclusi i compensi ((e le prestazioni)) derivanti: </w:t>
      </w:r>
    </w:p>
    <w:p w14:paraId="2734115C" w14:textId="77777777" w:rsidR="0005249B" w:rsidRPr="000901EA" w:rsidRDefault="0005249B" w:rsidP="0005249B">
      <w:pPr>
        <w:pStyle w:val="Paragrafoelenco"/>
        <w:numPr>
          <w:ilvl w:val="0"/>
          <w:numId w:val="9"/>
        </w:numPr>
        <w:jc w:val="both"/>
        <w:rPr>
          <w:rFonts w:ascii="Calibri" w:hAnsi="Calibri"/>
          <w:i/>
          <w:sz w:val="16"/>
          <w:szCs w:val="16"/>
        </w:rPr>
      </w:pPr>
      <w:r w:rsidRPr="000901EA">
        <w:rPr>
          <w:rFonts w:ascii="Calibri" w:hAnsi="Calibri"/>
          <w:i/>
          <w:sz w:val="16"/>
          <w:szCs w:val="16"/>
        </w:rPr>
        <w:t xml:space="preserve"> dalla collaborazione a giornali, riviste, enciclopedie e simili; </w:t>
      </w:r>
    </w:p>
    <w:p w14:paraId="138ACEEA" w14:textId="77777777" w:rsidR="0005249B" w:rsidRPr="000901EA" w:rsidRDefault="0005249B" w:rsidP="0005249B">
      <w:pPr>
        <w:pStyle w:val="Paragrafoelenco"/>
        <w:numPr>
          <w:ilvl w:val="0"/>
          <w:numId w:val="9"/>
        </w:numPr>
        <w:jc w:val="both"/>
        <w:rPr>
          <w:rFonts w:ascii="Calibri" w:hAnsi="Calibri"/>
          <w:i/>
          <w:sz w:val="16"/>
          <w:szCs w:val="16"/>
        </w:rPr>
      </w:pPr>
      <w:r w:rsidRPr="000901EA">
        <w:rPr>
          <w:rFonts w:ascii="Calibri" w:hAnsi="Calibri"/>
          <w:i/>
          <w:sz w:val="16"/>
          <w:szCs w:val="16"/>
        </w:rPr>
        <w:t xml:space="preserve"> dalla utilizzazione economica da parte dell'autore o inventore di opere dell'ingegno e di invenzioni industriali; </w:t>
      </w:r>
    </w:p>
    <w:p w14:paraId="4F30AE57" w14:textId="77777777" w:rsidR="0005249B" w:rsidRPr="000901EA" w:rsidRDefault="0005249B" w:rsidP="0005249B">
      <w:pPr>
        <w:pStyle w:val="Paragrafoelenco"/>
        <w:numPr>
          <w:ilvl w:val="0"/>
          <w:numId w:val="9"/>
        </w:numPr>
        <w:jc w:val="both"/>
        <w:rPr>
          <w:rFonts w:ascii="Calibri" w:hAnsi="Calibri"/>
          <w:i/>
          <w:sz w:val="16"/>
          <w:szCs w:val="16"/>
        </w:rPr>
      </w:pPr>
      <w:r w:rsidRPr="000901EA">
        <w:rPr>
          <w:rFonts w:ascii="Calibri" w:hAnsi="Calibri"/>
          <w:i/>
          <w:sz w:val="16"/>
          <w:szCs w:val="16"/>
        </w:rPr>
        <w:t xml:space="preserve"> dalla partecipazione a convegni e seminari; </w:t>
      </w:r>
    </w:p>
    <w:p w14:paraId="199D1673" w14:textId="77777777" w:rsidR="0005249B" w:rsidRPr="000901EA" w:rsidRDefault="0005249B" w:rsidP="0005249B">
      <w:pPr>
        <w:pStyle w:val="Paragrafoelenco"/>
        <w:numPr>
          <w:ilvl w:val="0"/>
          <w:numId w:val="9"/>
        </w:numPr>
        <w:jc w:val="both"/>
        <w:rPr>
          <w:rFonts w:ascii="Calibri" w:hAnsi="Calibri"/>
          <w:i/>
          <w:sz w:val="16"/>
          <w:szCs w:val="16"/>
        </w:rPr>
      </w:pPr>
      <w:r w:rsidRPr="000901EA">
        <w:rPr>
          <w:rFonts w:ascii="Calibri" w:hAnsi="Calibri"/>
          <w:i/>
          <w:sz w:val="16"/>
          <w:szCs w:val="16"/>
        </w:rPr>
        <w:t xml:space="preserve"> da incarichi per i quali è corrisposto solo il rimborso delle spese documentate; </w:t>
      </w:r>
    </w:p>
    <w:p w14:paraId="3A730142" w14:textId="77777777" w:rsidR="0005249B" w:rsidRPr="000901EA" w:rsidRDefault="0005249B" w:rsidP="0005249B">
      <w:pPr>
        <w:pStyle w:val="Paragrafoelenco"/>
        <w:numPr>
          <w:ilvl w:val="0"/>
          <w:numId w:val="9"/>
        </w:numPr>
        <w:jc w:val="both"/>
        <w:rPr>
          <w:rFonts w:ascii="Calibri" w:hAnsi="Calibri"/>
          <w:i/>
          <w:sz w:val="16"/>
          <w:szCs w:val="16"/>
        </w:rPr>
      </w:pPr>
      <w:r w:rsidRPr="000901EA">
        <w:rPr>
          <w:rFonts w:ascii="Calibri" w:hAnsi="Calibri"/>
          <w:i/>
          <w:sz w:val="16"/>
          <w:szCs w:val="16"/>
        </w:rPr>
        <w:t xml:space="preserve"> da incarichi per lo svolgimento dei quali il dipendente è posto in posizione di aspettativa, di comando o di fuori ruolo; </w:t>
      </w:r>
    </w:p>
    <w:p w14:paraId="690425C1" w14:textId="77777777" w:rsidR="0005249B" w:rsidRPr="000901EA" w:rsidRDefault="0005249B" w:rsidP="0005249B">
      <w:pPr>
        <w:pStyle w:val="Paragrafoelenco"/>
        <w:numPr>
          <w:ilvl w:val="0"/>
          <w:numId w:val="9"/>
        </w:numPr>
        <w:jc w:val="both"/>
        <w:rPr>
          <w:rFonts w:ascii="Calibri" w:hAnsi="Calibri"/>
          <w:i/>
          <w:sz w:val="16"/>
          <w:szCs w:val="16"/>
        </w:rPr>
      </w:pPr>
      <w:r w:rsidRPr="000901EA">
        <w:rPr>
          <w:rFonts w:ascii="Calibri" w:hAnsi="Calibri"/>
          <w:i/>
          <w:sz w:val="16"/>
          <w:szCs w:val="16"/>
        </w:rPr>
        <w:t xml:space="preserve"> da incarichi conferiti dalle organizzazioni sindacali a dipendenti presso le stesse distaccati o in aspettativa non retribuita. </w:t>
      </w:r>
    </w:p>
    <w:p w14:paraId="5F2942B7" w14:textId="77777777" w:rsidR="0005249B" w:rsidRPr="000901EA" w:rsidRDefault="0005249B" w:rsidP="0005249B">
      <w:pPr>
        <w:ind w:left="851" w:hanging="567"/>
        <w:jc w:val="both"/>
        <w:rPr>
          <w:rFonts w:ascii="Calibri" w:hAnsi="Calibri"/>
          <w:i/>
          <w:sz w:val="16"/>
          <w:szCs w:val="16"/>
        </w:rPr>
      </w:pPr>
      <w:r w:rsidRPr="000901EA">
        <w:rPr>
          <w:rFonts w:ascii="Calibri" w:hAnsi="Calibri"/>
          <w:i/>
          <w:sz w:val="16"/>
          <w:szCs w:val="16"/>
        </w:rPr>
        <w:t xml:space="preserve"> f-bis) da attività di formazione diretta ai dipendenti della pubblica amministrazione nonché di docenza e di ricerca scientifica. </w:t>
      </w:r>
    </w:p>
    <w:p w14:paraId="4CF14C02"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 7. I dipendenti pubblici non possono svolgere incarichi retribuiti che non siano stati conferiti o previamente autorizzati dall'amministrazione di appartenenza. Ai fini dell'autorizzazione, l'amministrazione verifica l'insussistenza di situazioni, anche potenziali, di conflitto di interessi. Con riferimento ai professori universitari a tempo pieno, gli statuti o i regolamenti degli atenei disciplinano i criteri e le procedure per il rilascio dell'autorizzazione nei casi previsti dal presente decreto. In caso di inosservanza del divieto, salve le più gravi sanzioni e ferma restando la responsabilità disciplinare, il compenso dovuto per le prestazioni eventualmente svolte deve essere versato, a cura</w:t>
      </w:r>
    </w:p>
    <w:p w14:paraId="5FFDC749"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dell'erogante o, in difetto, del percettore, nel conto dell'entrata del bilancio dell'amministrazione di appartenenza del dipendente per essere destinato ad incremento del fondo di produttività o di fondi equivalenti. </w:t>
      </w:r>
    </w:p>
    <w:p w14:paraId="25D31E34"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7-bis. L'omissione del versamento del compenso da parte del dipendente pubblico indebito percettore costituisce ipotesi di responsabilità erariale soggetta alla giurisdizione della Corte dei conti. </w:t>
      </w:r>
    </w:p>
    <w:p w14:paraId="2F3A6CD6"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8. Le pubbliche amministrazioni non possono conferire incarichi retribuiti a dipendenti di altre amministrazioni pubbliche senza la previa autorizzazione dell'amministrazione di appartenenza dei dipendenti stessi. Salve le più gravi sanzioni, il conferimento dei predetti incarichi, senza la previa autorizzazione, costituisce in ogni caso infrazione disciplinare per il funzionario responsabile del procedimento; il relativo provvedimento è nullo di diritto. In tal caso l'importo previsto come corrispettivo dell'incarico, ove gravi su fondi in disponibilità dell'amministrazione conferente, è trasferito all'amministrazione di appartenenza del dipendente ad incremento del fondo di produttività o di fondi equivalenti. </w:t>
      </w:r>
    </w:p>
    <w:p w14:paraId="6F6E0D34"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9. Gli enti pubblici economici e i soggetti privati non possono conferire incarichi retribuiti a dipendenti pubblici senza la previa autorizzazione dell'amministrazione di appartenenza dei dipendenti stessi. Ai fini dell'autorizzazione, l'amministrazione verifica l'insussistenza di situazioni, anche potenziali, di conflitto di interessi. In caso di inosservanza si applica la disposizione dell'articolo 6, comma 1, del decreto legge 28 marzo 1997, n. 79, convertito, con modificazioni, dalla legge 28 maggio 1997, n. 140, e successive modificazioni ed integrazioni. All'accertamento delle violazioni e all'irrogazione delle sanzioni provvede il Ministero delle finanze, avvalendosi della Guardia di finanza, secondo le disposizioni della legge 24 novembre 1981, n. 689, e successive modificazioni ed integrazioni. Le somme riscosse sono acquisite alle entrate del Ministero delle finanze. </w:t>
      </w:r>
    </w:p>
    <w:p w14:paraId="6BFD7E52" w14:textId="77777777" w:rsidR="0005249B" w:rsidRPr="000901EA" w:rsidRDefault="0005249B" w:rsidP="0005249B">
      <w:pPr>
        <w:jc w:val="both"/>
        <w:rPr>
          <w:rFonts w:ascii="Calibri" w:hAnsi="Calibri"/>
          <w:i/>
          <w:sz w:val="16"/>
          <w:szCs w:val="16"/>
        </w:rPr>
      </w:pPr>
      <w:r w:rsidRPr="000901EA">
        <w:rPr>
          <w:rFonts w:ascii="Calibri" w:hAnsi="Calibri"/>
          <w:i/>
          <w:sz w:val="16"/>
          <w:szCs w:val="16"/>
        </w:rPr>
        <w:t>10. L'autorizzazione, di cui ai commi precedenti, deve essere richiesta all'amministrazione di appartenenza del dipendente dai soggetti pubblici o privati, che intendono conferire l'incarico; può, altresì, essere richiesta dal dipendente interessato. L'amministrazione di appartenenza deve pronunciarsi sulla richiesta di autorizzazione entro trenta giorni dalla ricezione della richiesta stessa. Per il personale che presta comunque servizio presso amministrazioni pubbliche diverse da quelle di appartenenza, l'autorizzazione è subordinata all'intesa tra le due amministrazioni. In tal caso il termine per provvedere è per l'amministrazione di appartenenza di 45 giorni e si prescinde dall'intesa se l'amministrazione presso la quale il dipendente presta servizio non si pronunzia entro 10 giorni dalla ricezione della richiesta di intesa da parte dell'amministrazione di appartenenza. Decorso il termine per provvedere, l'autorizzazione, se richiesta per incarichi da conferirsi da amministrazioni pubbliche, si intende accordata; in ogni altro caso, si intende definitivamente negata.</w:t>
      </w:r>
    </w:p>
    <w:p w14:paraId="76E4087F"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11. Entro quindici giorni dall'erogazione del compenso per gli incarichi di cui al comma 6, i soggetti pubblici o privati comunicano all'amministrazione di appartenenza l'ammontare dei compensi erogati ai dipendenti pubblici. </w:t>
      </w:r>
    </w:p>
    <w:p w14:paraId="2526E1F4"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12. Le amministrazioni pubbliche che conferiscono o autorizzano incarichi, anche a titolo gratuito, ai propri dipendenti comunicano in via telematica, nel termine di quindici giorni, al Dipartimento della funzione pubblica gli incarichi conferiti o autorizzati ai dipendenti stessi, con l'indicazione dell'oggetto dell'incarico e del compenso lordo, ove previsto. </w:t>
      </w:r>
    </w:p>
    <w:p w14:paraId="5FB7242E"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13. Le amministrazioni di appartenenza sono tenute a comunicare tempestivamente al Dipartimento della funzione pubblica, in via telematica, per ciascuno dei propri dipendenti e distintamente per ogni incarico conferito o autorizzato, i compensi da esse erogati o della cui erogazione abbiano avuto comunicazione dai soggetti di cui al comma 11. </w:t>
      </w:r>
    </w:p>
    <w:p w14:paraId="0FF3F10D" w14:textId="77777777" w:rsidR="0005249B" w:rsidRPr="000901EA" w:rsidRDefault="0005249B" w:rsidP="0005249B">
      <w:pPr>
        <w:jc w:val="both"/>
        <w:rPr>
          <w:rFonts w:ascii="Calibri" w:hAnsi="Calibri"/>
          <w:i/>
          <w:sz w:val="16"/>
          <w:szCs w:val="16"/>
        </w:rPr>
      </w:pPr>
      <w:r w:rsidRPr="000901EA">
        <w:rPr>
          <w:rFonts w:ascii="Calibri" w:hAnsi="Calibri"/>
          <w:i/>
          <w:sz w:val="16"/>
          <w:szCs w:val="16"/>
        </w:rPr>
        <w:t>14. Al fine della verifica dell'applicazione delle norme di cui all'articolo 1, commi 123 e 127, della legge 23 dicembre 1996, n. 662, e successive modificazioni e integrazioni, le amministrazioni pubbliche sono tenute a comunicare al Dipartimento della funzione pubblica, in via telematica, tempestivamente e comunque nei termini previsti dal decreto legislativo 14 marzo 2013, n. 33, i dati di cui agli articoli 15 e 18 del medesimo decreto legislativo n. 33 del 2013, relativi a tutti gli incarichi conferiti o autorizzati a qualsiasi titolo. Le amministrazioni rendono noti, mediante inserimento nelle proprie banche dati accessibili al pubblico per via telematica, gli elenchi dei propri consulenti indicando l'oggetto, la durata e il compenso dell'incarico nonchè l'attestazione dell'avvenuta verifica dell'insussistenza di situazioni, anche potenziali, di conflitto di interessi. Le informazioni relative a consulenze e incarichi comunicate dalle amministrazioni al Dipartimento della funzione pubblica, nonchè le informazioni pubblicate dalle stesse nelle proprie banche dati accessibili al pubblico per via telematica ai sensi del presente articolo, sono trasmesse e pubblicate in tabelle riassuntive rese liberamente scaricabili in un formato digitale standard aperto che consenta di</w:t>
      </w:r>
    </w:p>
    <w:p w14:paraId="1C732843" w14:textId="77777777" w:rsidR="0005249B" w:rsidRPr="000901EA" w:rsidRDefault="0005249B" w:rsidP="0005249B">
      <w:pPr>
        <w:jc w:val="both"/>
        <w:rPr>
          <w:rFonts w:ascii="Calibri" w:hAnsi="Calibri"/>
          <w:i/>
          <w:sz w:val="16"/>
          <w:szCs w:val="16"/>
        </w:rPr>
      </w:pPr>
      <w:r w:rsidRPr="000901EA">
        <w:rPr>
          <w:rFonts w:ascii="Calibri" w:hAnsi="Calibri"/>
          <w:i/>
          <w:sz w:val="16"/>
          <w:szCs w:val="16"/>
        </w:rPr>
        <w:t>analizzare e rielaborare, anche a fini statistici, i dati informatici. Entro il 31 dicembre di ciascun anno il Dipartimento della funzione pubblica trasmette alla Corte dei conti l'elenco delle amministrazioni che hanno omesso di trasmettere e pubblicare, in tutto o in parte, le informazioni di cui al terzo periodo del presente comma in formato digitale standard aperto. Entro il 31 dicembre di ciascun anno il Dipartimento della funzione pubblica trasmette alla Corte dei conti l'elenco delle amministrazioni che hanno omesso di effettuare la comunicazione, avente ad oggetto l'elenco dei collaboratori esterni e dei soggetti cui sono stati affidati incarichi di consulenza.</w:t>
      </w:r>
    </w:p>
    <w:p w14:paraId="08DC5016"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15. Le amministrazioni che omettono gli adempimenti di cui ai commi da 11 a 14 non possono conferire nuovi incarichi fino a quando non adempiono. I soggetti di cui al comma 9 che omettono le comunicazioni di cui al comma 11 incorrono nella sanzione di cui allo stesso comma 9. </w:t>
      </w:r>
    </w:p>
    <w:p w14:paraId="06F902E2"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16. Il Dipartimento della funzione pubblica, entro il 31 dicembre di ciascun anno, riferisce al Parlamento sui dati raccolti, adotta le relative misure di pubblicità e trasparenza e formula proposte per il contenimento della spesa per gli incarichi e per la razionalizzazione dei criteri di attribuzione degli incarichi stessi. </w:t>
      </w:r>
    </w:p>
    <w:p w14:paraId="19F055FF"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16-bis. La Presidenza del Consiglio dei Ministri - Dipartimento della funzione pubblica può disporre verifiche del rispetto delle disposizioni del presente articolo e dell'articolo 1, commi 56 e seguenti, della legge 23 dicembre 1996, n. 662, per il tramite dell'Ispettorato per la funzione pubblica. A tale fine quest'ultimo opera d'intesa con i Servizi ispettivi di finanza pubblica del Dipartimento della Ragioneria generale dello Stato. </w:t>
      </w:r>
    </w:p>
    <w:p w14:paraId="341FCC76" w14:textId="77777777" w:rsidR="0005249B" w:rsidRPr="000901EA" w:rsidRDefault="0005249B" w:rsidP="0005249B">
      <w:pPr>
        <w:jc w:val="both"/>
        <w:rPr>
          <w:rFonts w:ascii="Calibri" w:hAnsi="Calibri"/>
          <w:i/>
          <w:sz w:val="16"/>
          <w:szCs w:val="16"/>
        </w:rPr>
      </w:pPr>
      <w:r w:rsidRPr="000901EA">
        <w:rPr>
          <w:rFonts w:ascii="Calibri" w:hAnsi="Calibri"/>
          <w:i/>
          <w:sz w:val="16"/>
          <w:szCs w:val="16"/>
        </w:rPr>
        <w:t>16-ter.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p>
    <w:p w14:paraId="42F3A6E1" w14:textId="77777777" w:rsidR="0005249B" w:rsidRDefault="0005249B" w:rsidP="0005249B">
      <w:pPr>
        <w:jc w:val="both"/>
        <w:rPr>
          <w:rFonts w:ascii="Calibri" w:hAnsi="Calibri"/>
          <w:i/>
        </w:rPr>
      </w:pPr>
    </w:p>
    <w:p w14:paraId="1855E1AE" w14:textId="77777777" w:rsidR="0005249B" w:rsidRDefault="0005249B" w:rsidP="0005249B">
      <w:pPr>
        <w:jc w:val="both"/>
        <w:rPr>
          <w:rFonts w:ascii="Calibri" w:hAnsi="Calibri"/>
        </w:rPr>
      </w:pPr>
      <w:r w:rsidRPr="00371E2D">
        <w:rPr>
          <w:rFonts w:ascii="Calibri" w:hAnsi="Calibri"/>
          <w:b/>
        </w:rPr>
        <w:t>D. Lgs. n° 33/2013</w:t>
      </w:r>
      <w:r>
        <w:rPr>
          <w:rFonts w:ascii="Calibri" w:hAnsi="Calibri"/>
        </w:rPr>
        <w:t xml:space="preserve"> – A</w:t>
      </w:r>
      <w:r w:rsidRPr="009F180A">
        <w:rPr>
          <w:rFonts w:ascii="Calibri" w:hAnsi="Calibri"/>
        </w:rPr>
        <w:t>rt</w:t>
      </w:r>
      <w:r>
        <w:rPr>
          <w:rFonts w:ascii="Calibri" w:hAnsi="Calibri"/>
        </w:rPr>
        <w:t>.</w:t>
      </w:r>
      <w:r w:rsidRPr="009F180A">
        <w:rPr>
          <w:rFonts w:ascii="Calibri" w:hAnsi="Calibri"/>
        </w:rPr>
        <w:t xml:space="preserve"> 15 (Obblighi di pubblicazione concernenti i titolari di incarichi di collaborazione o consulenza), comma 1, </w:t>
      </w:r>
      <w:r>
        <w:rPr>
          <w:rFonts w:ascii="Calibri" w:hAnsi="Calibri"/>
        </w:rPr>
        <w:t>lettera c)</w:t>
      </w:r>
    </w:p>
    <w:p w14:paraId="31BF7ED1"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1A70F105" w14:textId="77777777" w:rsidR="0005249B" w:rsidRPr="000901EA" w:rsidRDefault="0005249B" w:rsidP="0005249B">
      <w:pPr>
        <w:jc w:val="center"/>
        <w:rPr>
          <w:rFonts w:ascii="Calibri" w:hAnsi="Calibri"/>
          <w:i/>
          <w:sz w:val="16"/>
          <w:szCs w:val="16"/>
        </w:rPr>
      </w:pPr>
      <w:r w:rsidRPr="000901EA">
        <w:rPr>
          <w:rFonts w:ascii="Calibri" w:hAnsi="Calibri"/>
          <w:i/>
          <w:sz w:val="16"/>
          <w:szCs w:val="16"/>
        </w:rPr>
        <w:t>…omissis…</w:t>
      </w:r>
    </w:p>
    <w:p w14:paraId="79DAFF2A"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 c) i dati relativi allo svolgimento di incarichi o la titolarità di cariche in enti di diritto privato regolati o finanziati dalla</w:t>
      </w:r>
    </w:p>
    <w:p w14:paraId="617BF0DB" w14:textId="77777777" w:rsidR="0005249B" w:rsidRPr="000901EA" w:rsidRDefault="0005249B" w:rsidP="0005249B">
      <w:pPr>
        <w:jc w:val="both"/>
        <w:rPr>
          <w:rFonts w:ascii="Calibri" w:hAnsi="Calibri"/>
          <w:i/>
          <w:sz w:val="16"/>
          <w:szCs w:val="16"/>
        </w:rPr>
      </w:pPr>
      <w:r w:rsidRPr="000901EA">
        <w:rPr>
          <w:rFonts w:ascii="Calibri" w:hAnsi="Calibri"/>
          <w:i/>
          <w:sz w:val="16"/>
          <w:szCs w:val="16"/>
        </w:rPr>
        <w:t>pubblica amministrazione o lo svolgimento di attività professionali;</w:t>
      </w:r>
    </w:p>
    <w:p w14:paraId="6AD3F279" w14:textId="77777777" w:rsidR="0005249B" w:rsidRPr="00344122" w:rsidRDefault="0005249B" w:rsidP="0005249B">
      <w:pPr>
        <w:jc w:val="center"/>
        <w:rPr>
          <w:rFonts w:ascii="Calibri" w:hAnsi="Calibri"/>
          <w:i/>
        </w:rPr>
      </w:pPr>
      <w:r w:rsidRPr="000901EA">
        <w:rPr>
          <w:rFonts w:ascii="Calibri" w:hAnsi="Calibri"/>
          <w:i/>
          <w:sz w:val="16"/>
          <w:szCs w:val="16"/>
        </w:rPr>
        <w:t>…omissis…</w:t>
      </w:r>
    </w:p>
    <w:p w14:paraId="600A01E4" w14:textId="77777777" w:rsidR="0005249B" w:rsidRDefault="0005249B" w:rsidP="0005249B">
      <w:pPr>
        <w:jc w:val="both"/>
        <w:rPr>
          <w:rFonts w:ascii="Calibri" w:hAnsi="Calibri"/>
          <w:i/>
        </w:rPr>
      </w:pPr>
    </w:p>
    <w:p w14:paraId="7AF7846E" w14:textId="77777777" w:rsidR="0005249B" w:rsidRDefault="0005249B" w:rsidP="0005249B">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04A072CA"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 All'atto del conferimento dell'incarico l'interessato presenta una dichiarazione sulla insussistenza di una delle cause di inconferibilità di cui al presente decreto. </w:t>
      </w:r>
    </w:p>
    <w:p w14:paraId="1A60688E"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2. Nel corso dell'incarico l'interessato presenta annualmente una dichiarazione sulla insussistenza di una delle cause di incompatibilità di cui al presente decreto. </w:t>
      </w:r>
    </w:p>
    <w:p w14:paraId="7F97D9C3"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 3. Le dichiarazioni di cui ai commi 1 e 2 sono pubblicate nel sito della pubblica amministrazione, ente pubblico o ente di diritto privato in controllo pubblico che ha conferito l'incarico. </w:t>
      </w:r>
    </w:p>
    <w:p w14:paraId="7F8A074C"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 4. La dichiarazione di cui al comma 1 è condizione per l'acquisizione dell'efficacia dell'incarico. </w:t>
      </w:r>
    </w:p>
    <w:p w14:paraId="6D46D961"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 5. Ferma restando ogni altra responsabilità, la dichiarazione mendace, accertata dalla stessa amministrazione, nel rispetto del diritto di difesa e del contraddittorio dell'interessato, comporta la inconferibilità di qualsivoglia incarico di cui al presente decreto per un periodo di 5 anni.</w:t>
      </w:r>
    </w:p>
    <w:p w14:paraId="520E584C" w14:textId="77777777" w:rsidR="0005249B" w:rsidRDefault="0005249B" w:rsidP="0005249B">
      <w:pPr>
        <w:jc w:val="both"/>
        <w:rPr>
          <w:rFonts w:ascii="Calibri" w:hAnsi="Calibri"/>
          <w:i/>
        </w:rPr>
      </w:pPr>
    </w:p>
    <w:p w14:paraId="0B5E3168" w14:textId="77777777" w:rsidR="0005249B" w:rsidRDefault="0005249B" w:rsidP="0005249B">
      <w:pPr>
        <w:jc w:val="both"/>
        <w:rPr>
          <w:rFonts w:ascii="Calibri" w:hAnsi="Calibri"/>
        </w:rPr>
      </w:pPr>
      <w:r w:rsidRPr="00371E2D">
        <w:rPr>
          <w:rFonts w:ascii="Calibri" w:hAnsi="Calibri"/>
          <w:b/>
        </w:rPr>
        <w:t>D. Lgs. n° 50/2016</w:t>
      </w:r>
      <w:r>
        <w:rPr>
          <w:rFonts w:ascii="Calibri" w:hAnsi="Calibri"/>
        </w:rPr>
        <w:t xml:space="preserve"> – Art. 42 (Conflitto di interesse)</w:t>
      </w:r>
    </w:p>
    <w:p w14:paraId="379A156F"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1. Le stazioni appaltanti prevedono misure adeguate per contrastare le frodi e la corruzione nonché per individuare, prevenire e risolvere in modo efficace ogni ipotesi di conflitto di interesse nello svolgimento delle procedure di aggiudicazione degli appalti e delle concessioni, in modo da evitare qualsiasi distorsione della concorrenza e garantire la parità di trattamento di tutti gli operatori economici. </w:t>
      </w:r>
    </w:p>
    <w:p w14:paraId="2D351513"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2. Si ha conflitto d'interesse quando il personale di una stazione appaltante o di un prestatore di servizi che, anche per conto della stazione appaltante, interviene nello svolgimento della procedura di aggiudicazione degli appalti e delle concessioni o può influenzarne, in qualsiasi modo, il risultato, ha, direttamente o indirettamente, un interesse finanziario, economico o altro interesse personale che può essere percepito come una minaccia alla sua imparzialità e indipendenza nel contesto della procedura di appalto o di concessione. In particolare, costituiscono situazione di conflitto di interesse quelle che determinano l'obbligo di astensione previste dall'articolo 7 del decreto del Presidente della Repubblica 16 aprile 2013, 62. </w:t>
      </w:r>
    </w:p>
    <w:p w14:paraId="687633E5"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3. Il personale che versa nelle ipotesi di cui al comma 2 è tenuto a darne comunicazione alla stazione appaltante, ad astenersi dal partecipare alla procedura di aggiudicazione degli appalti e delle concessioni. Fatte salve le ipotesi di responsabilità amministrativa e penale, la mancata astensione nei casi di cui al primo periodo costituisce comunque fonte di responsabilità disciplinare a carico del dipendente pubblico. </w:t>
      </w:r>
    </w:p>
    <w:p w14:paraId="19B1C8A9" w14:textId="77777777" w:rsidR="0005249B" w:rsidRPr="000901EA" w:rsidRDefault="0005249B" w:rsidP="0005249B">
      <w:pPr>
        <w:jc w:val="both"/>
        <w:rPr>
          <w:rFonts w:ascii="Calibri" w:hAnsi="Calibri"/>
          <w:i/>
          <w:sz w:val="16"/>
          <w:szCs w:val="16"/>
        </w:rPr>
      </w:pPr>
      <w:r w:rsidRPr="000901EA">
        <w:rPr>
          <w:rFonts w:ascii="Calibri" w:hAnsi="Calibri"/>
          <w:i/>
          <w:sz w:val="16"/>
          <w:szCs w:val="16"/>
        </w:rPr>
        <w:t xml:space="preserve">4. Le disposizioni dei commi 1, 2 e 3 valgono anche per la fase di esecuzione dei contratti pubblici. </w:t>
      </w:r>
    </w:p>
    <w:p w14:paraId="546BC785" w14:textId="77777777" w:rsidR="0005249B" w:rsidRPr="00344122" w:rsidRDefault="0005249B" w:rsidP="0005249B">
      <w:pPr>
        <w:jc w:val="both"/>
        <w:rPr>
          <w:rFonts w:ascii="Calibri" w:hAnsi="Calibri"/>
          <w:i/>
        </w:rPr>
      </w:pPr>
      <w:r w:rsidRPr="000901EA">
        <w:rPr>
          <w:rFonts w:ascii="Calibri" w:hAnsi="Calibri"/>
          <w:i/>
          <w:sz w:val="16"/>
          <w:szCs w:val="16"/>
        </w:rPr>
        <w:t>5. La stazione appaltante vigila affinché gli adempimenti di cui ai commi 3 e 4 siano rispettati.</w:t>
      </w:r>
    </w:p>
    <w:p w14:paraId="39CED071" w14:textId="139DE0EE" w:rsidR="00BF0A19" w:rsidRPr="006F1545" w:rsidRDefault="00BF0A19" w:rsidP="006A143D">
      <w:pPr>
        <w:jc w:val="both"/>
        <w:rPr>
          <w:rFonts w:ascii="Calibri" w:hAnsi="Calibri"/>
        </w:rPr>
      </w:pPr>
    </w:p>
    <w:sectPr w:rsidR="00BF0A19" w:rsidRPr="006F1545">
      <w:footerReference w:type="default" r:id="rId11"/>
      <w:pgSz w:w="11906" w:h="16838"/>
      <w:pgMar w:top="1135" w:right="1134" w:bottom="1134" w:left="1134" w:header="709" w:footer="72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9832B" w14:textId="77777777" w:rsidR="00805235" w:rsidRDefault="00805235">
      <w:r>
        <w:separator/>
      </w:r>
    </w:p>
  </w:endnote>
  <w:endnote w:type="continuationSeparator" w:id="0">
    <w:p w14:paraId="4F955E5D" w14:textId="77777777" w:rsidR="00805235" w:rsidRDefault="00805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9704C" w14:textId="4445DC1F" w:rsidR="008C36CF" w:rsidRDefault="008C36CF">
    <w:pPr>
      <w:pStyle w:val="Pidipagina"/>
    </w:pPr>
  </w:p>
  <w:p w14:paraId="0F0CAFE3" w14:textId="6BF22A18" w:rsidR="008C36CF" w:rsidRPr="008C36CF" w:rsidRDefault="008C36CF" w:rsidP="008C36CF">
    <w:pPr>
      <w:tabs>
        <w:tab w:val="center" w:pos="4819"/>
        <w:tab w:val="right" w:pos="9638"/>
      </w:tabs>
      <w:suppressAutoHyphens w:val="0"/>
      <w:jc w:val="center"/>
    </w:pPr>
  </w:p>
  <w:p w14:paraId="74C43F53" w14:textId="0747750B" w:rsidR="008C36CF" w:rsidRPr="008C36CF" w:rsidRDefault="008C36CF" w:rsidP="008C36CF">
    <w:pPr>
      <w:tabs>
        <w:tab w:val="center" w:pos="4819"/>
        <w:tab w:val="right" w:pos="9638"/>
      </w:tabs>
      <w:suppressAutoHyphens w:val="0"/>
      <w:jc w:val="center"/>
    </w:pPr>
  </w:p>
  <w:p w14:paraId="0B7CA28C" w14:textId="7B531232" w:rsidR="00BF0A19" w:rsidRDefault="00BF0A19">
    <w:pPr>
      <w:pStyle w:val="Pidipagina"/>
      <w:jc w:val="center"/>
    </w:pPr>
  </w:p>
  <w:p w14:paraId="3CEE0718" w14:textId="77777777" w:rsidR="00F04DFA" w:rsidRDefault="00F04DFA">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26A62" w14:textId="77777777" w:rsidR="00805235" w:rsidRDefault="00805235">
      <w:r>
        <w:separator/>
      </w:r>
    </w:p>
  </w:footnote>
  <w:footnote w:type="continuationSeparator" w:id="0">
    <w:p w14:paraId="5D82231A" w14:textId="77777777" w:rsidR="00805235" w:rsidRDefault="008052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363C57FF"/>
    <w:multiLevelType w:val="hybridMultilevel"/>
    <w:tmpl w:val="1B0A9E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6"/>
  </w:num>
  <w:num w:numId="2">
    <w:abstractNumId w:val="2"/>
  </w:num>
  <w:num w:numId="3">
    <w:abstractNumId w:val="8"/>
  </w:num>
  <w:num w:numId="4">
    <w:abstractNumId w:val="7"/>
  </w:num>
  <w:num w:numId="5">
    <w:abstractNumId w:val="5"/>
  </w:num>
  <w:num w:numId="6">
    <w:abstractNumId w:val="3"/>
  </w:num>
  <w:num w:numId="7">
    <w:abstractNumId w:val="1"/>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5249B"/>
    <w:rsid w:val="001F7185"/>
    <w:rsid w:val="00205155"/>
    <w:rsid w:val="00295B97"/>
    <w:rsid w:val="002C7176"/>
    <w:rsid w:val="002E6E58"/>
    <w:rsid w:val="003249BC"/>
    <w:rsid w:val="00380979"/>
    <w:rsid w:val="00392B1F"/>
    <w:rsid w:val="00401F3A"/>
    <w:rsid w:val="00450F8D"/>
    <w:rsid w:val="00527D05"/>
    <w:rsid w:val="0057564B"/>
    <w:rsid w:val="0065672F"/>
    <w:rsid w:val="006668D8"/>
    <w:rsid w:val="006A143D"/>
    <w:rsid w:val="006B36D1"/>
    <w:rsid w:val="006F1545"/>
    <w:rsid w:val="007B4482"/>
    <w:rsid w:val="00803B69"/>
    <w:rsid w:val="00805235"/>
    <w:rsid w:val="0089275E"/>
    <w:rsid w:val="008C36CF"/>
    <w:rsid w:val="008E04EE"/>
    <w:rsid w:val="00983EFD"/>
    <w:rsid w:val="009916E3"/>
    <w:rsid w:val="00A47796"/>
    <w:rsid w:val="00A7318C"/>
    <w:rsid w:val="00AA6840"/>
    <w:rsid w:val="00B55FBE"/>
    <w:rsid w:val="00BD763B"/>
    <w:rsid w:val="00BF0A19"/>
    <w:rsid w:val="00C74AFE"/>
    <w:rsid w:val="00C8415B"/>
    <w:rsid w:val="00CD4618"/>
    <w:rsid w:val="00D12C30"/>
    <w:rsid w:val="00DE6DF8"/>
    <w:rsid w:val="00E2610E"/>
    <w:rsid w:val="00ED513C"/>
    <w:rsid w:val="00F04DFA"/>
    <w:rsid w:val="00FC47A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C2D60"/>
  </w:style>
  <w:style w:type="paragraph" w:styleId="Titolo1">
    <w:name w:val="heading 1"/>
    <w:basedOn w:val="Normale"/>
    <w:next w:val="Normale"/>
    <w:qFormat/>
    <w:rsid w:val="001C2D60"/>
    <w:pPr>
      <w:widowControl w:val="0"/>
      <w:tabs>
        <w:tab w:val="left" w:pos="-1440"/>
        <w:tab w:val="left" w:pos="-720"/>
      </w:tabs>
      <w:jc w:val="both"/>
      <w:outlineLvl w:val="0"/>
    </w:pPr>
    <w:rPr>
      <w:b/>
      <w:spacing w:val="-2"/>
      <w:sz w:val="24"/>
      <w:lang w:val="en-US"/>
    </w:rPr>
  </w:style>
  <w:style w:type="paragraph" w:styleId="Titolo2">
    <w:name w:val="heading 2"/>
    <w:basedOn w:val="Normale"/>
    <w:next w:val="Normale"/>
    <w:qFormat/>
    <w:rsid w:val="001C2D60"/>
    <w:pPr>
      <w:widowControl w:val="0"/>
      <w:tabs>
        <w:tab w:val="left" w:pos="-1440"/>
        <w:tab w:val="left" w:pos="-720"/>
      </w:tabs>
      <w:jc w:val="both"/>
      <w:outlineLvl w:val="1"/>
    </w:pPr>
    <w:rPr>
      <w:b/>
      <w:spacing w:val="-2"/>
      <w:sz w:val="24"/>
      <w:lang w:val="en-US"/>
    </w:rPr>
  </w:style>
  <w:style w:type="paragraph" w:styleId="Titolo3">
    <w:name w:val="heading 3"/>
    <w:basedOn w:val="Normale"/>
    <w:next w:val="Normale"/>
    <w:qFormat/>
    <w:rsid w:val="001C2D60"/>
    <w:pPr>
      <w:widowControl w:val="0"/>
      <w:tabs>
        <w:tab w:val="left" w:pos="-1440"/>
        <w:tab w:val="left" w:pos="-720"/>
      </w:tabs>
      <w:jc w:val="both"/>
      <w:outlineLvl w:val="2"/>
    </w:pPr>
    <w:rPr>
      <w:b/>
      <w:spacing w:val="-2"/>
      <w:sz w:val="24"/>
      <w:lang w:val="en-US"/>
    </w:rPr>
  </w:style>
  <w:style w:type="paragraph" w:styleId="Titolo4">
    <w:name w:val="heading 4"/>
    <w:basedOn w:val="Normale"/>
    <w:next w:val="Normale"/>
    <w:qFormat/>
    <w:rsid w:val="001C2D60"/>
    <w:pPr>
      <w:widowControl w:val="0"/>
      <w:tabs>
        <w:tab w:val="left" w:pos="-1440"/>
        <w:tab w:val="left" w:pos="-720"/>
      </w:tabs>
      <w:jc w:val="both"/>
      <w:outlineLvl w:val="3"/>
    </w:pPr>
    <w:rPr>
      <w:b/>
      <w:spacing w:val="-2"/>
      <w:sz w:val="24"/>
      <w:lang w:val="en-US"/>
    </w:rPr>
  </w:style>
  <w:style w:type="paragraph" w:styleId="Titolo5">
    <w:name w:val="heading 5"/>
    <w:basedOn w:val="Normale"/>
    <w:next w:val="Normale"/>
    <w:qFormat/>
    <w:rsid w:val="001C2D60"/>
    <w:pPr>
      <w:widowControl w:val="0"/>
      <w:tabs>
        <w:tab w:val="left" w:pos="-1440"/>
        <w:tab w:val="left" w:pos="-720"/>
      </w:tabs>
      <w:jc w:val="both"/>
      <w:outlineLvl w:val="4"/>
    </w:pPr>
    <w:rPr>
      <w:b/>
      <w:spacing w:val="-2"/>
      <w:sz w:val="24"/>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uiPriority w:val="99"/>
    <w:qFormat/>
    <w:rsid w:val="00434C03"/>
  </w:style>
  <w:style w:type="character" w:customStyle="1" w:styleId="CollegamentoInternet">
    <w:name w:val="Collegamento Internet"/>
    <w:rsid w:val="00034015"/>
    <w:rPr>
      <w:color w:val="0000FF"/>
      <w:u w:val="single"/>
    </w:rPr>
  </w:style>
  <w:style w:type="character" w:customStyle="1" w:styleId="TestofumettoCarattere">
    <w:name w:val="Testo fumetto Carattere"/>
    <w:basedOn w:val="Carpredefinitoparagrafo"/>
    <w:link w:val="Testofumetto"/>
    <w:semiHidden/>
    <w:qFormat/>
    <w:rsid w:val="005D0EFB"/>
    <w:rPr>
      <w:rFonts w:ascii="Segoe UI" w:hAnsi="Segoe UI" w:cs="Segoe UI"/>
      <w:sz w:val="18"/>
      <w:szCs w:val="18"/>
    </w:rPr>
  </w:style>
  <w:style w:type="character" w:customStyle="1" w:styleId="CorpotestoCarattere">
    <w:name w:val="Corpo testo Carattere"/>
    <w:basedOn w:val="Carpredefinitoparagrafo"/>
    <w:link w:val="Corpotesto"/>
    <w:semiHidden/>
    <w:qFormat/>
    <w:rsid w:val="0086224C"/>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semiHidden/>
    <w:unhideWhenUsed/>
    <w:rsid w:val="0086224C"/>
    <w:pPr>
      <w:spacing w:after="12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rsid w:val="001C2D60"/>
    <w:pPr>
      <w:tabs>
        <w:tab w:val="center" w:pos="4819"/>
        <w:tab w:val="right" w:pos="9638"/>
      </w:tabs>
    </w:pPr>
  </w:style>
  <w:style w:type="paragraph" w:styleId="Pidipagina">
    <w:name w:val="footer"/>
    <w:basedOn w:val="Normale"/>
    <w:link w:val="PidipaginaCarattere"/>
    <w:uiPriority w:val="99"/>
    <w:rsid w:val="001C2D60"/>
    <w:pPr>
      <w:tabs>
        <w:tab w:val="center" w:pos="4819"/>
        <w:tab w:val="right" w:pos="9638"/>
      </w:tabs>
    </w:pPr>
  </w:style>
  <w:style w:type="paragraph" w:styleId="Testonormale">
    <w:name w:val="Plain Text"/>
    <w:basedOn w:val="Normale"/>
    <w:qFormat/>
    <w:rsid w:val="001C2D60"/>
    <w:rPr>
      <w:rFonts w:ascii="Courier New" w:hAnsi="Courier New"/>
    </w:rPr>
  </w:style>
  <w:style w:type="paragraph" w:styleId="Rientrocorpodeltesto">
    <w:name w:val="Body Text Indent"/>
    <w:basedOn w:val="Normale"/>
    <w:rsid w:val="001C2D60"/>
    <w:pPr>
      <w:ind w:left="567" w:firstLine="1134"/>
      <w:jc w:val="both"/>
    </w:pPr>
    <w:rPr>
      <w:sz w:val="24"/>
    </w:rPr>
  </w:style>
  <w:style w:type="paragraph" w:styleId="Testofumetto">
    <w:name w:val="Balloon Text"/>
    <w:basedOn w:val="Normale"/>
    <w:link w:val="TestofumettoCarattere"/>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Paragrafoelenco">
    <w:name w:val="List Paragraph"/>
    <w:basedOn w:val="Normale"/>
    <w:uiPriority w:val="34"/>
    <w:qFormat/>
    <w:rsid w:val="009F3BA8"/>
    <w:pPr>
      <w:ind w:left="720"/>
      <w:contextualSpacing/>
    </w:pPr>
  </w:style>
  <w:style w:type="table" w:styleId="Grigliatabella">
    <w:name w:val="Table Grid"/>
    <w:basedOn w:val="Tabellanorma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idipaginaCarattere">
    <w:name w:val="Piè di pagina Carattere"/>
    <w:basedOn w:val="Carpredefinitoparagrafo"/>
    <w:link w:val="Pidipagina"/>
    <w:uiPriority w:val="99"/>
    <w:rsid w:val="008C36CF"/>
  </w:style>
  <w:style w:type="table" w:customStyle="1" w:styleId="Grigliatabella1">
    <w:name w:val="Griglia tabella1"/>
    <w:basedOn w:val="Tabellanormale"/>
    <w:next w:val="Grigliatabella"/>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stonotaapidipagina">
    <w:name w:val="footnote text"/>
    <w:basedOn w:val="Normale"/>
    <w:link w:val="TestonotaapidipaginaCarattere"/>
    <w:semiHidden/>
    <w:unhideWhenUsed/>
    <w:rsid w:val="00450F8D"/>
  </w:style>
  <w:style w:type="character" w:customStyle="1" w:styleId="TestonotaapidipaginaCarattere">
    <w:name w:val="Testo nota a piè di pagina Carattere"/>
    <w:basedOn w:val="Carpredefinitoparagrafo"/>
    <w:link w:val="Testonotaapidipagina"/>
    <w:semiHidden/>
    <w:rsid w:val="00450F8D"/>
  </w:style>
  <w:style w:type="character" w:styleId="Rimandonotaapidipagina">
    <w:name w:val="footnote reference"/>
    <w:basedOn w:val="Carpredefinitoparagrafo"/>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2ef69b8-65d5-47b2-8f4a-2e09ed143ef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3" ma:contentTypeDescription="Creare un nuovo documento." ma:contentTypeScope="" ma:versionID="4936b3f4bf7fe00f4a4e0611bdfee019">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4da8769f630fbc126690f343c9b49dcf"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_activity" ma:index="20"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3BD0E-D7A7-43ED-8BF3-4275001EBB4F}">
  <ds:schemaRefs>
    <ds:schemaRef ds:uri="http://purl.org/dc/terms/"/>
    <ds:schemaRef ds:uri="http://schemas.microsoft.com/office/2006/metadata/properties"/>
    <ds:schemaRef ds:uri="4a22eb92-2709-4e62-b46e-21685da4c9d3"/>
    <ds:schemaRef ds:uri="http://www.w3.org/XML/1998/namespace"/>
    <ds:schemaRef ds:uri="http://schemas.microsoft.com/office/2006/documentManagement/types"/>
    <ds:schemaRef ds:uri="82ef69b8-65d5-47b2-8f4a-2e09ed143efe"/>
    <ds:schemaRef ds:uri="http://purl.org/dc/dcmitype/"/>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3.xml><?xml version="1.0" encoding="utf-8"?>
<ds:datastoreItem xmlns:ds="http://schemas.openxmlformats.org/officeDocument/2006/customXml" ds:itemID="{6C9D1FCC-3FCE-4F56-B920-892EDAF7A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1966E3-85D0-4794-A6A4-0E77E556F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4</Pages>
  <Words>3384</Words>
  <Characters>19293</Characters>
  <DocSecurity>0</DocSecurity>
  <Lines>160</Lines>
  <Paragraphs>45</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LinksUpToDate>false</LinksUpToDate>
  <CharactersWithSpaces>22632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Printed>2022-07-21T08:34:00Z</cp:lastPrinted>
  <dcterms:created xsi:type="dcterms:W3CDTF">2022-10-05T09:48:00Z</dcterms:created>
  <dcterms:modified xsi:type="dcterms:W3CDTF">2023-02-06T15:48:00Z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